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31159" w14:textId="77777777" w:rsidR="00653B6D" w:rsidRPr="00D40944" w:rsidRDefault="00653B6D" w:rsidP="00653B6D">
      <w:pPr>
        <w:jc w:val="center"/>
        <w:rPr>
          <w:b/>
          <w:bCs/>
          <w:sz w:val="28"/>
          <w:szCs w:val="28"/>
        </w:rPr>
      </w:pPr>
      <w:r w:rsidRPr="00D40944">
        <w:rPr>
          <w:b/>
          <w:bCs/>
          <w:sz w:val="28"/>
          <w:szCs w:val="28"/>
        </w:rPr>
        <w:t>ATT Working Group Meetings</w:t>
      </w:r>
    </w:p>
    <w:p w14:paraId="45CD4F9C" w14:textId="2C5B55E0" w:rsidR="00653B6D" w:rsidRPr="00D40944" w:rsidRDefault="00653B6D" w:rsidP="00653B6D">
      <w:pPr>
        <w:jc w:val="center"/>
        <w:rPr>
          <w:b/>
          <w:bCs/>
          <w:sz w:val="28"/>
          <w:szCs w:val="28"/>
        </w:rPr>
      </w:pPr>
      <w:r w:rsidRPr="00D40944">
        <w:rPr>
          <w:b/>
          <w:bCs/>
          <w:sz w:val="28"/>
          <w:szCs w:val="28"/>
        </w:rPr>
        <w:t xml:space="preserve">Geneva </w:t>
      </w:r>
      <w:r>
        <w:rPr>
          <w:b/>
          <w:bCs/>
          <w:sz w:val="28"/>
          <w:szCs w:val="28"/>
        </w:rPr>
        <w:t>March 2026</w:t>
      </w:r>
    </w:p>
    <w:p w14:paraId="459BA0D5" w14:textId="50530610" w:rsidR="00653B6D" w:rsidRDefault="00653B6D" w:rsidP="00653B6D">
      <w:pPr>
        <w:jc w:val="center"/>
        <w:rPr>
          <w:b/>
          <w:bCs/>
          <w:sz w:val="28"/>
          <w:szCs w:val="28"/>
        </w:rPr>
      </w:pPr>
      <w:r w:rsidRPr="00D40944">
        <w:rPr>
          <w:b/>
          <w:bCs/>
          <w:sz w:val="28"/>
          <w:szCs w:val="28"/>
        </w:rPr>
        <w:t xml:space="preserve">Australia - Intervention on </w:t>
      </w:r>
      <w:r>
        <w:rPr>
          <w:b/>
          <w:bCs/>
          <w:sz w:val="28"/>
          <w:szCs w:val="28"/>
        </w:rPr>
        <w:t xml:space="preserve">Gender </w:t>
      </w:r>
    </w:p>
    <w:p w14:paraId="16966D60" w14:textId="1A0B7BDE" w:rsidR="00653B6D" w:rsidRPr="00653B6D" w:rsidRDefault="00653B6D" w:rsidP="00653B6D">
      <w:pPr>
        <w:jc w:val="center"/>
        <w:rPr>
          <w:rFonts w:ascii="Aptos" w:eastAsia="Times New Roman" w:hAnsi="Aptos" w:cs="Times New Roman"/>
          <w:b/>
          <w:bCs/>
          <w:i/>
          <w:iCs/>
          <w:color w:val="000000"/>
          <w:kern w:val="0"/>
          <w:sz w:val="28"/>
          <w:szCs w:val="28"/>
          <w:lang w:val="en-US"/>
          <w14:ligatures w14:val="none"/>
        </w:rPr>
      </w:pPr>
      <w:r w:rsidRPr="10E2E674">
        <w:rPr>
          <w:rFonts w:ascii="Aptos" w:eastAsia="Times New Roman" w:hAnsi="Aptos" w:cs="Times New Roman"/>
          <w:b/>
          <w:bCs/>
          <w:i/>
          <w:iCs/>
          <w:color w:val="000000"/>
          <w:kern w:val="0"/>
          <w:sz w:val="28"/>
          <w:szCs w:val="28"/>
          <w:lang w:val="en-US"/>
          <w14:ligatures w14:val="none"/>
        </w:rPr>
        <w:t>Working Group on Effective Treaty Implementation (WEGTI)</w:t>
      </w:r>
    </w:p>
    <w:p w14:paraId="19200763" w14:textId="5A9E39EB" w:rsidR="00D50EA2" w:rsidRPr="00C93F8E" w:rsidRDefault="00D50EA2" w:rsidP="00C93F8E">
      <w:pPr>
        <w:rPr>
          <w:i/>
          <w:iCs/>
          <w:sz w:val="28"/>
          <w:szCs w:val="28"/>
          <w:u w:val="single"/>
          <w:lang w:val="en-US"/>
        </w:rPr>
      </w:pPr>
      <w:r>
        <w:rPr>
          <w:i/>
          <w:iCs/>
          <w:sz w:val="28"/>
          <w:szCs w:val="28"/>
          <w:u w:val="single"/>
          <w:lang w:val="en-US"/>
        </w:rPr>
        <w:t>Agenda item 4: The risk of conventional arms being used for GB</w:t>
      </w:r>
      <w:r w:rsidR="007051C7">
        <w:rPr>
          <w:i/>
          <w:iCs/>
          <w:sz w:val="28"/>
          <w:szCs w:val="28"/>
          <w:u w:val="single"/>
          <w:lang w:val="en-US"/>
        </w:rPr>
        <w:t>V</w:t>
      </w:r>
      <w:r>
        <w:rPr>
          <w:i/>
          <w:iCs/>
          <w:sz w:val="28"/>
          <w:szCs w:val="28"/>
          <w:u w:val="single"/>
          <w:lang w:val="en-US"/>
        </w:rPr>
        <w:t xml:space="preserve"> or VAWC</w:t>
      </w:r>
      <w:r w:rsidR="00395FED">
        <w:rPr>
          <w:i/>
          <w:iCs/>
          <w:sz w:val="28"/>
          <w:szCs w:val="28"/>
          <w:u w:val="single"/>
          <w:lang w:val="en-US"/>
        </w:rPr>
        <w:t xml:space="preserve"> in Sub-working </w:t>
      </w:r>
      <w:proofErr w:type="gramStart"/>
      <w:r w:rsidR="00395FED">
        <w:rPr>
          <w:i/>
          <w:iCs/>
          <w:sz w:val="28"/>
          <w:szCs w:val="28"/>
          <w:u w:val="single"/>
          <w:lang w:val="en-US"/>
        </w:rPr>
        <w:t>group</w:t>
      </w:r>
      <w:proofErr w:type="gramEnd"/>
      <w:r w:rsidR="00395FED">
        <w:rPr>
          <w:i/>
          <w:iCs/>
          <w:sz w:val="28"/>
          <w:szCs w:val="28"/>
          <w:u w:val="single"/>
          <w:lang w:val="en-US"/>
        </w:rPr>
        <w:t xml:space="preserve"> on current and emerging implementation issues.</w:t>
      </w:r>
    </w:p>
    <w:p w14:paraId="351223D5" w14:textId="77777777" w:rsidR="00903904" w:rsidRDefault="00903904" w:rsidP="00653B6D">
      <w:pPr>
        <w:spacing w:after="0"/>
        <w:rPr>
          <w:sz w:val="28"/>
          <w:szCs w:val="28"/>
        </w:rPr>
      </w:pPr>
    </w:p>
    <w:p w14:paraId="2BD4460B" w14:textId="5B38CCC4" w:rsidR="000B043F" w:rsidRDefault="59659487" w:rsidP="000B043F">
      <w:pPr>
        <w:spacing w:after="0"/>
        <w:rPr>
          <w:sz w:val="28"/>
          <w:szCs w:val="28"/>
        </w:rPr>
      </w:pPr>
      <w:r w:rsidRPr="39052C4B">
        <w:rPr>
          <w:sz w:val="28"/>
          <w:szCs w:val="28"/>
        </w:rPr>
        <w:t>D</w:t>
      </w:r>
      <w:r w:rsidR="000B043F" w:rsidRPr="39052C4B">
        <w:rPr>
          <w:sz w:val="28"/>
          <w:szCs w:val="28"/>
        </w:rPr>
        <w:t>istinguished colleagues,</w:t>
      </w:r>
    </w:p>
    <w:p w14:paraId="53EEC19A" w14:textId="77777777" w:rsidR="004E2B6E" w:rsidRPr="000B043F" w:rsidRDefault="004E2B6E" w:rsidP="000B043F">
      <w:pPr>
        <w:spacing w:after="0"/>
        <w:rPr>
          <w:sz w:val="28"/>
          <w:szCs w:val="28"/>
        </w:rPr>
      </w:pPr>
    </w:p>
    <w:p w14:paraId="098FDBDB" w14:textId="1BB0CFF1" w:rsidR="000B043F" w:rsidRDefault="000B043F" w:rsidP="000B043F">
      <w:pPr>
        <w:spacing w:after="0"/>
        <w:rPr>
          <w:sz w:val="28"/>
          <w:szCs w:val="28"/>
        </w:rPr>
      </w:pPr>
      <w:r w:rsidRPr="39052C4B">
        <w:rPr>
          <w:sz w:val="28"/>
          <w:szCs w:val="28"/>
        </w:rPr>
        <w:t>Thank you for the opportunity to share Australia’s perspective.</w:t>
      </w:r>
      <w:r w:rsidR="5B675855" w:rsidRPr="39052C4B">
        <w:rPr>
          <w:sz w:val="28"/>
          <w:szCs w:val="28"/>
        </w:rPr>
        <w:t xml:space="preserve"> At the outset I would like to thank the South African presidency, the French Working Group Chair and the Secretariat.</w:t>
      </w:r>
    </w:p>
    <w:p w14:paraId="6422541E" w14:textId="77777777" w:rsidR="008A543B" w:rsidRPr="000B043F" w:rsidRDefault="008A543B" w:rsidP="000B043F">
      <w:pPr>
        <w:spacing w:after="0"/>
        <w:rPr>
          <w:sz w:val="28"/>
          <w:szCs w:val="28"/>
        </w:rPr>
      </w:pPr>
    </w:p>
    <w:p w14:paraId="609A3C6C" w14:textId="3C9F56E2" w:rsidR="00614317" w:rsidRDefault="5B675855" w:rsidP="000B043F">
      <w:pPr>
        <w:spacing w:after="0"/>
        <w:rPr>
          <w:sz w:val="28"/>
          <w:szCs w:val="28"/>
        </w:rPr>
      </w:pPr>
      <w:r w:rsidRPr="39052C4B">
        <w:rPr>
          <w:sz w:val="28"/>
          <w:szCs w:val="28"/>
        </w:rPr>
        <w:t>As we have already heard from others today, t</w:t>
      </w:r>
      <w:r w:rsidR="000B043F" w:rsidRPr="39052C4B">
        <w:rPr>
          <w:sz w:val="28"/>
          <w:szCs w:val="28"/>
        </w:rPr>
        <w:t xml:space="preserve">he Arms Trade Treaty </w:t>
      </w:r>
      <w:r w:rsidR="00970D45" w:rsidRPr="39052C4B">
        <w:rPr>
          <w:sz w:val="28"/>
          <w:szCs w:val="28"/>
        </w:rPr>
        <w:t xml:space="preserve">(ATT) </w:t>
      </w:r>
      <w:r w:rsidR="000B043F" w:rsidRPr="39052C4B">
        <w:rPr>
          <w:sz w:val="28"/>
          <w:szCs w:val="28"/>
        </w:rPr>
        <w:t>was groundbreaking as the first legally binding treaty to recognise the links between the arms trade and gender</w:t>
      </w:r>
      <w:r w:rsidR="000B043F" w:rsidRPr="39052C4B">
        <w:rPr>
          <w:rFonts w:ascii="Cambria Math" w:hAnsi="Cambria Math" w:cs="Cambria Math"/>
          <w:sz w:val="28"/>
          <w:szCs w:val="28"/>
        </w:rPr>
        <w:t>‑</w:t>
      </w:r>
      <w:r w:rsidR="000B043F" w:rsidRPr="39052C4B">
        <w:rPr>
          <w:sz w:val="28"/>
          <w:szCs w:val="28"/>
        </w:rPr>
        <w:t>based violence</w:t>
      </w:r>
      <w:r w:rsidR="002C1697" w:rsidRPr="39052C4B">
        <w:rPr>
          <w:sz w:val="28"/>
          <w:szCs w:val="28"/>
        </w:rPr>
        <w:t xml:space="preserve"> (GBV)</w:t>
      </w:r>
      <w:r w:rsidR="000B043F" w:rsidRPr="39052C4B">
        <w:rPr>
          <w:sz w:val="28"/>
          <w:szCs w:val="28"/>
        </w:rPr>
        <w:t xml:space="preserve">. </w:t>
      </w:r>
    </w:p>
    <w:p w14:paraId="4139F5D9" w14:textId="77777777" w:rsidR="00614317" w:rsidRDefault="00614317" w:rsidP="000B043F">
      <w:pPr>
        <w:spacing w:after="0"/>
        <w:rPr>
          <w:sz w:val="28"/>
          <w:szCs w:val="28"/>
        </w:rPr>
      </w:pPr>
    </w:p>
    <w:p w14:paraId="6EF21B73" w14:textId="4F07E4E7" w:rsidR="000B043F" w:rsidRDefault="000B043F" w:rsidP="000B043F">
      <w:pPr>
        <w:spacing w:after="0"/>
        <w:rPr>
          <w:sz w:val="28"/>
          <w:szCs w:val="28"/>
        </w:rPr>
      </w:pPr>
      <w:r w:rsidRPr="49F0227F">
        <w:rPr>
          <w:sz w:val="28"/>
          <w:szCs w:val="28"/>
        </w:rPr>
        <w:t>Australia welcomes the continued focus on practical implementation of Article 7(4)</w:t>
      </w:r>
      <w:r w:rsidR="00C46986" w:rsidRPr="49F0227F">
        <w:rPr>
          <w:sz w:val="28"/>
          <w:szCs w:val="28"/>
        </w:rPr>
        <w:t>. It</w:t>
      </w:r>
      <w:r w:rsidRPr="49F0227F">
        <w:rPr>
          <w:sz w:val="28"/>
          <w:szCs w:val="28"/>
        </w:rPr>
        <w:t xml:space="preserve"> remains central to our collective efforts to prevent and reduce gender</w:t>
      </w:r>
      <w:r w:rsidRPr="49F0227F">
        <w:rPr>
          <w:rFonts w:ascii="Cambria Math" w:hAnsi="Cambria Math" w:cs="Cambria Math"/>
          <w:sz w:val="28"/>
          <w:szCs w:val="28"/>
        </w:rPr>
        <w:t>‑</w:t>
      </w:r>
      <w:r w:rsidRPr="49F0227F">
        <w:rPr>
          <w:sz w:val="28"/>
          <w:szCs w:val="28"/>
        </w:rPr>
        <w:t>based violence.</w:t>
      </w:r>
    </w:p>
    <w:p w14:paraId="0689A845" w14:textId="77777777" w:rsidR="00316DD7" w:rsidRPr="000B043F" w:rsidRDefault="00316DD7" w:rsidP="000B043F">
      <w:pPr>
        <w:spacing w:after="0"/>
        <w:rPr>
          <w:sz w:val="28"/>
          <w:szCs w:val="28"/>
        </w:rPr>
      </w:pPr>
    </w:p>
    <w:p w14:paraId="6A3B39EF" w14:textId="77777777" w:rsidR="006C5AA4" w:rsidRDefault="000B043F" w:rsidP="000B043F">
      <w:pPr>
        <w:spacing w:after="0"/>
        <w:rPr>
          <w:sz w:val="28"/>
          <w:szCs w:val="28"/>
        </w:rPr>
      </w:pPr>
      <w:r w:rsidRPr="2D770274">
        <w:rPr>
          <w:sz w:val="28"/>
          <w:szCs w:val="28"/>
        </w:rPr>
        <w:t>When assessing relevant proposed exports, Australia evaluates the risk that an item could be used to commit or facilitate gender</w:t>
      </w:r>
      <w:r w:rsidRPr="2D770274">
        <w:rPr>
          <w:rFonts w:ascii="Cambria Math" w:hAnsi="Cambria Math" w:cs="Cambria Math"/>
          <w:sz w:val="28"/>
          <w:szCs w:val="28"/>
        </w:rPr>
        <w:t>‑</w:t>
      </w:r>
      <w:r w:rsidRPr="2D770274">
        <w:rPr>
          <w:sz w:val="28"/>
          <w:szCs w:val="28"/>
        </w:rPr>
        <w:t>based violence or serious acts of violence against women and children. To make these assessments, we draw on a wide range of information sources, including open</w:t>
      </w:r>
      <w:r w:rsidRPr="2D770274">
        <w:rPr>
          <w:rFonts w:ascii="Cambria Math" w:hAnsi="Cambria Math" w:cs="Cambria Math"/>
          <w:sz w:val="28"/>
          <w:szCs w:val="28"/>
        </w:rPr>
        <w:t>‑</w:t>
      </w:r>
      <w:r w:rsidRPr="2D770274">
        <w:rPr>
          <w:sz w:val="28"/>
          <w:szCs w:val="28"/>
        </w:rPr>
        <w:t xml:space="preserve">source reporting, our overseas network, briefings from international partners, NGOs and individuals, and intelligence. </w:t>
      </w:r>
    </w:p>
    <w:p w14:paraId="5FE3B490" w14:textId="77777777" w:rsidR="006C5AA4" w:rsidRDefault="006C5AA4" w:rsidP="000B043F">
      <w:pPr>
        <w:spacing w:after="0"/>
        <w:rPr>
          <w:sz w:val="28"/>
          <w:szCs w:val="28"/>
        </w:rPr>
      </w:pPr>
    </w:p>
    <w:p w14:paraId="59140223" w14:textId="70724F46" w:rsidR="000B043F" w:rsidRDefault="000B043F" w:rsidP="000B043F">
      <w:pPr>
        <w:spacing w:after="0"/>
        <w:rPr>
          <w:sz w:val="28"/>
          <w:szCs w:val="28"/>
        </w:rPr>
      </w:pPr>
      <w:r w:rsidRPr="2D770274">
        <w:rPr>
          <w:sz w:val="28"/>
          <w:szCs w:val="28"/>
        </w:rPr>
        <w:t>As we have emphasised previously, coordinated action across multiple government agencies is essential for effective ATT implementation.</w:t>
      </w:r>
      <w:r w:rsidR="3E13B1C0" w:rsidRPr="2D770274">
        <w:rPr>
          <w:sz w:val="28"/>
          <w:szCs w:val="28"/>
        </w:rPr>
        <w:t xml:space="preserve"> </w:t>
      </w:r>
    </w:p>
    <w:p w14:paraId="0FFCC153" w14:textId="77777777" w:rsidR="00FB68B3" w:rsidRPr="000B043F" w:rsidRDefault="00FB68B3" w:rsidP="000B043F">
      <w:pPr>
        <w:spacing w:after="0"/>
        <w:rPr>
          <w:sz w:val="28"/>
          <w:szCs w:val="28"/>
        </w:rPr>
      </w:pPr>
    </w:p>
    <w:p w14:paraId="6FA2E030" w14:textId="16D28715" w:rsidR="000B043F" w:rsidRDefault="000B043F" w:rsidP="000B043F">
      <w:pPr>
        <w:spacing w:after="0"/>
        <w:rPr>
          <w:sz w:val="28"/>
          <w:szCs w:val="28"/>
        </w:rPr>
      </w:pPr>
      <w:r w:rsidRPr="39052C4B">
        <w:rPr>
          <w:sz w:val="28"/>
          <w:szCs w:val="28"/>
        </w:rPr>
        <w:t xml:space="preserve">Australia also encourages continued development of practical and accessible resources to support States Parties in implementing this </w:t>
      </w:r>
      <w:r w:rsidRPr="39052C4B">
        <w:rPr>
          <w:sz w:val="28"/>
          <w:szCs w:val="28"/>
        </w:rPr>
        <w:lastRenderedPageBreak/>
        <w:t>important obligation.</w:t>
      </w:r>
      <w:r w:rsidR="5D3035B5" w:rsidRPr="39052C4B">
        <w:rPr>
          <w:sz w:val="28"/>
          <w:szCs w:val="28"/>
        </w:rPr>
        <w:t xml:space="preserve"> We support the proposed integration of the flowchart</w:t>
      </w:r>
      <w:r w:rsidR="39A1EAEA" w:rsidRPr="39052C4B">
        <w:rPr>
          <w:sz w:val="28"/>
          <w:szCs w:val="28"/>
        </w:rPr>
        <w:t xml:space="preserve"> that was on screen earlier</w:t>
      </w:r>
      <w:r w:rsidR="5D3035B5" w:rsidRPr="39052C4B">
        <w:rPr>
          <w:sz w:val="28"/>
          <w:szCs w:val="28"/>
        </w:rPr>
        <w:t xml:space="preserve"> into the Voluntary Guide. It is a useful tool to assist export </w:t>
      </w:r>
      <w:r w:rsidR="128531C8" w:rsidRPr="39052C4B">
        <w:rPr>
          <w:sz w:val="28"/>
          <w:szCs w:val="28"/>
        </w:rPr>
        <w:t xml:space="preserve">permit </w:t>
      </w:r>
      <w:r w:rsidR="5D3035B5" w:rsidRPr="39052C4B">
        <w:rPr>
          <w:sz w:val="28"/>
          <w:szCs w:val="28"/>
        </w:rPr>
        <w:t>assessment officers.</w:t>
      </w:r>
    </w:p>
    <w:p w14:paraId="56B98307" w14:textId="77777777" w:rsidR="00FB68B3" w:rsidRPr="000B043F" w:rsidRDefault="00FB68B3" w:rsidP="000B043F">
      <w:pPr>
        <w:spacing w:after="0"/>
        <w:rPr>
          <w:sz w:val="28"/>
          <w:szCs w:val="28"/>
        </w:rPr>
      </w:pPr>
    </w:p>
    <w:p w14:paraId="761FFC77" w14:textId="3DB52F6C" w:rsidR="000B043F" w:rsidRDefault="000C2D7E" w:rsidP="000B043F">
      <w:pPr>
        <w:spacing w:after="0"/>
        <w:rPr>
          <w:sz w:val="28"/>
          <w:szCs w:val="28"/>
        </w:rPr>
      </w:pPr>
      <w:r w:rsidRPr="39052C4B">
        <w:rPr>
          <w:sz w:val="28"/>
          <w:szCs w:val="28"/>
        </w:rPr>
        <w:t xml:space="preserve">Australia welcomes the appointment of Mexico, Spain and Togo as the Gender Focal Points of the </w:t>
      </w:r>
      <w:r w:rsidR="008B5B81" w:rsidRPr="39052C4B">
        <w:rPr>
          <w:sz w:val="28"/>
          <w:szCs w:val="28"/>
        </w:rPr>
        <w:t>ATT</w:t>
      </w:r>
      <w:r w:rsidR="00351FC8" w:rsidRPr="39052C4B">
        <w:rPr>
          <w:sz w:val="28"/>
          <w:szCs w:val="28"/>
        </w:rPr>
        <w:t>. We</w:t>
      </w:r>
      <w:r w:rsidR="00040D36" w:rsidRPr="39052C4B">
        <w:rPr>
          <w:sz w:val="28"/>
          <w:szCs w:val="28"/>
        </w:rPr>
        <w:t xml:space="preserve"> </w:t>
      </w:r>
      <w:r w:rsidR="00377ADA" w:rsidRPr="39052C4B">
        <w:rPr>
          <w:sz w:val="28"/>
          <w:szCs w:val="28"/>
        </w:rPr>
        <w:t xml:space="preserve">appreciate </w:t>
      </w:r>
      <w:r w:rsidR="00040D36" w:rsidRPr="39052C4B">
        <w:rPr>
          <w:sz w:val="28"/>
          <w:szCs w:val="28"/>
        </w:rPr>
        <w:t xml:space="preserve">their efforts to promote </w:t>
      </w:r>
      <w:r w:rsidR="000B043F" w:rsidRPr="39052C4B">
        <w:rPr>
          <w:sz w:val="28"/>
          <w:szCs w:val="28"/>
        </w:rPr>
        <w:t xml:space="preserve">gender, diversity and inclusion within the </w:t>
      </w:r>
      <w:r w:rsidR="008B5B81" w:rsidRPr="39052C4B">
        <w:rPr>
          <w:sz w:val="28"/>
          <w:szCs w:val="28"/>
        </w:rPr>
        <w:t>treaty.</w:t>
      </w:r>
      <w:r w:rsidR="4AB1FF19" w:rsidRPr="39052C4B">
        <w:rPr>
          <w:sz w:val="28"/>
          <w:szCs w:val="28"/>
        </w:rPr>
        <w:t xml:space="preserve"> We welcome what we have heard today from the Focal Points on your intentions for the gender workplan. </w:t>
      </w:r>
      <w:r w:rsidR="000B043F" w:rsidRPr="39052C4B">
        <w:rPr>
          <w:sz w:val="28"/>
          <w:szCs w:val="28"/>
        </w:rPr>
        <w:t>We are pleased to see growing attention to gender issues within the AT</w:t>
      </w:r>
      <w:r w:rsidR="00B64A55" w:rsidRPr="39052C4B">
        <w:rPr>
          <w:sz w:val="28"/>
          <w:szCs w:val="28"/>
        </w:rPr>
        <w:t xml:space="preserve">T – </w:t>
      </w:r>
      <w:r w:rsidR="000B043F" w:rsidRPr="39052C4B">
        <w:rPr>
          <w:sz w:val="28"/>
          <w:szCs w:val="28"/>
        </w:rPr>
        <w:t>both in participation and in strengthening gender</w:t>
      </w:r>
      <w:r w:rsidR="000B043F" w:rsidRPr="39052C4B">
        <w:rPr>
          <w:rFonts w:ascii="Cambria Math" w:hAnsi="Cambria Math" w:cs="Cambria Math"/>
          <w:sz w:val="28"/>
          <w:szCs w:val="28"/>
        </w:rPr>
        <w:t>‑</w:t>
      </w:r>
      <w:r w:rsidR="000B043F" w:rsidRPr="39052C4B">
        <w:rPr>
          <w:sz w:val="28"/>
          <w:szCs w:val="28"/>
        </w:rPr>
        <w:t>sensitive analysis.</w:t>
      </w:r>
    </w:p>
    <w:p w14:paraId="70BCB8BC" w14:textId="77777777" w:rsidR="003638BD" w:rsidRDefault="003638BD" w:rsidP="000B043F">
      <w:pPr>
        <w:spacing w:after="0"/>
        <w:rPr>
          <w:sz w:val="28"/>
          <w:szCs w:val="28"/>
        </w:rPr>
      </w:pPr>
    </w:p>
    <w:p w14:paraId="4245BEB9" w14:textId="5F883D92" w:rsidR="00022D26" w:rsidRDefault="0066300B" w:rsidP="003638BD">
      <w:pPr>
        <w:spacing w:after="0"/>
        <w:rPr>
          <w:sz w:val="28"/>
          <w:szCs w:val="28"/>
        </w:rPr>
      </w:pPr>
      <w:r w:rsidRPr="49F0227F">
        <w:rPr>
          <w:sz w:val="28"/>
          <w:szCs w:val="28"/>
        </w:rPr>
        <w:t>Australia’s commitment to advancing gender equality is also reflected in our broader engagement with the Women, Peace and Security agenda. Our National Action Plan on Women, Peace and Security guides a whole</w:t>
      </w:r>
      <w:r w:rsidRPr="49F0227F">
        <w:rPr>
          <w:rFonts w:ascii="Cambria Math" w:hAnsi="Cambria Math" w:cs="Cambria Math"/>
          <w:sz w:val="28"/>
          <w:szCs w:val="28"/>
        </w:rPr>
        <w:t>‑</w:t>
      </w:r>
      <w:r w:rsidRPr="49F0227F">
        <w:rPr>
          <w:sz w:val="28"/>
          <w:szCs w:val="28"/>
        </w:rPr>
        <w:t>of</w:t>
      </w:r>
      <w:r w:rsidRPr="49F0227F">
        <w:rPr>
          <w:rFonts w:ascii="Cambria Math" w:hAnsi="Cambria Math" w:cs="Cambria Math"/>
          <w:sz w:val="28"/>
          <w:szCs w:val="28"/>
        </w:rPr>
        <w:t>‑</w:t>
      </w:r>
      <w:r w:rsidRPr="49F0227F">
        <w:rPr>
          <w:sz w:val="28"/>
          <w:szCs w:val="28"/>
        </w:rPr>
        <w:t>government approach to reducing harmful gender norms, preventing sexual and gender</w:t>
      </w:r>
      <w:r w:rsidRPr="49F0227F">
        <w:rPr>
          <w:rFonts w:ascii="Cambria Math" w:hAnsi="Cambria Math" w:cs="Cambria Math"/>
          <w:sz w:val="28"/>
          <w:szCs w:val="28"/>
        </w:rPr>
        <w:t>‑</w:t>
      </w:r>
      <w:r w:rsidRPr="49F0227F">
        <w:rPr>
          <w:sz w:val="28"/>
          <w:szCs w:val="28"/>
        </w:rPr>
        <w:t>based violence, increasing safety and access to justice, and supporting women</w:t>
      </w:r>
      <w:r w:rsidRPr="49F0227F">
        <w:rPr>
          <w:rFonts w:ascii="Aptos" w:hAnsi="Aptos" w:cs="Aptos"/>
          <w:sz w:val="28"/>
          <w:szCs w:val="28"/>
        </w:rPr>
        <w:t>’</w:t>
      </w:r>
      <w:r w:rsidRPr="49F0227F">
        <w:rPr>
          <w:sz w:val="28"/>
          <w:szCs w:val="28"/>
        </w:rPr>
        <w:t>s participation and leadership in decision</w:t>
      </w:r>
      <w:r w:rsidRPr="49F0227F">
        <w:rPr>
          <w:rFonts w:ascii="Cambria Math" w:hAnsi="Cambria Math" w:cs="Cambria Math"/>
          <w:sz w:val="28"/>
          <w:szCs w:val="28"/>
        </w:rPr>
        <w:t>‑</w:t>
      </w:r>
      <w:r w:rsidRPr="49F0227F">
        <w:rPr>
          <w:sz w:val="28"/>
          <w:szCs w:val="28"/>
        </w:rPr>
        <w:t>making processes.</w:t>
      </w:r>
    </w:p>
    <w:p w14:paraId="28908CFD" w14:textId="77777777" w:rsidR="003638BD" w:rsidRDefault="003638BD" w:rsidP="003638BD">
      <w:pPr>
        <w:spacing w:after="0"/>
        <w:rPr>
          <w:sz w:val="28"/>
          <w:szCs w:val="28"/>
        </w:rPr>
      </w:pPr>
    </w:p>
    <w:p w14:paraId="078824DF" w14:textId="52F5C182" w:rsidR="002A3F84" w:rsidRDefault="00022D26" w:rsidP="000B043F">
      <w:pPr>
        <w:spacing w:after="0"/>
        <w:rPr>
          <w:sz w:val="28"/>
          <w:szCs w:val="28"/>
        </w:rPr>
      </w:pPr>
      <w:r w:rsidRPr="00022D26">
        <w:rPr>
          <w:sz w:val="28"/>
          <w:szCs w:val="28"/>
        </w:rPr>
        <w:t>We were proud to host an International Women’s Day Breakfast on 11 March, which brought together the disarmament community for a productive discussion on the WPS agenda and its links to international security, mine action and peacebuilding. The event enabled valuable exchanges on effective ways to advance gender equality, from policy development to practical implementation.</w:t>
      </w:r>
    </w:p>
    <w:p w14:paraId="6764E6E0" w14:textId="77777777" w:rsidR="00B64A55" w:rsidRDefault="00B64A55" w:rsidP="000B043F">
      <w:pPr>
        <w:spacing w:after="0"/>
        <w:rPr>
          <w:sz w:val="28"/>
          <w:szCs w:val="28"/>
        </w:rPr>
      </w:pPr>
    </w:p>
    <w:p w14:paraId="2A02D58B" w14:textId="77777777" w:rsidR="000B043F" w:rsidRDefault="000B043F" w:rsidP="000B043F">
      <w:pPr>
        <w:spacing w:after="0"/>
        <w:rPr>
          <w:sz w:val="28"/>
          <w:szCs w:val="28"/>
        </w:rPr>
      </w:pPr>
      <w:r w:rsidRPr="000B043F">
        <w:rPr>
          <w:sz w:val="28"/>
          <w:szCs w:val="28"/>
        </w:rPr>
        <w:t>Facilitator, distinguished colleagues, thank you once again for the opportunity to contribute. Australia looks forward to working with you to advance gender</w:t>
      </w:r>
      <w:r w:rsidRPr="000B043F">
        <w:rPr>
          <w:rFonts w:ascii="Cambria Math" w:hAnsi="Cambria Math" w:cs="Cambria Math"/>
          <w:sz w:val="28"/>
          <w:szCs w:val="28"/>
        </w:rPr>
        <w:t>‑</w:t>
      </w:r>
      <w:r w:rsidRPr="000B043F">
        <w:rPr>
          <w:sz w:val="28"/>
          <w:szCs w:val="28"/>
        </w:rPr>
        <w:t>responsive implementation of the ATT and to strengthen our shared commitment to preventing gender</w:t>
      </w:r>
      <w:r w:rsidRPr="000B043F">
        <w:rPr>
          <w:rFonts w:ascii="Cambria Math" w:hAnsi="Cambria Math" w:cs="Cambria Math"/>
          <w:sz w:val="28"/>
          <w:szCs w:val="28"/>
        </w:rPr>
        <w:t>‑</w:t>
      </w:r>
      <w:r w:rsidRPr="000B043F">
        <w:rPr>
          <w:sz w:val="28"/>
          <w:szCs w:val="28"/>
        </w:rPr>
        <w:t>based violence.</w:t>
      </w:r>
    </w:p>
    <w:p w14:paraId="752145E4" w14:textId="77777777" w:rsidR="007C74E4" w:rsidRDefault="007C74E4" w:rsidP="00653B6D">
      <w:pPr>
        <w:spacing w:after="0"/>
        <w:rPr>
          <w:sz w:val="28"/>
          <w:szCs w:val="28"/>
        </w:rPr>
      </w:pPr>
    </w:p>
    <w:p w14:paraId="043486C6" w14:textId="129EE76F" w:rsidR="00CA2362" w:rsidRDefault="000B043F" w:rsidP="00653B6D">
      <w:pPr>
        <w:spacing w:after="0"/>
        <w:rPr>
          <w:sz w:val="28"/>
          <w:szCs w:val="28"/>
        </w:rPr>
      </w:pPr>
      <w:r w:rsidRPr="000B043F">
        <w:rPr>
          <w:sz w:val="28"/>
          <w:szCs w:val="28"/>
        </w:rPr>
        <w:t>Thank you.</w:t>
      </w:r>
    </w:p>
    <w:sectPr w:rsidR="00CA2362" w:rsidSect="00653B6D">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82D09" w14:textId="77777777" w:rsidR="00EC1786" w:rsidRDefault="00EC1786">
      <w:pPr>
        <w:spacing w:after="0" w:line="240" w:lineRule="auto"/>
      </w:pPr>
      <w:r>
        <w:separator/>
      </w:r>
    </w:p>
  </w:endnote>
  <w:endnote w:type="continuationSeparator" w:id="0">
    <w:p w14:paraId="2A972107" w14:textId="77777777" w:rsidR="00EC1786" w:rsidRDefault="00EC1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3125693"/>
      <w:docPartObj>
        <w:docPartGallery w:val="Page Numbers (Bottom of Page)"/>
        <w:docPartUnique/>
      </w:docPartObj>
    </w:sdtPr>
    <w:sdtEndPr>
      <w:rPr>
        <w:noProof/>
      </w:rPr>
    </w:sdtEndPr>
    <w:sdtContent>
      <w:p w14:paraId="5C6C83B2" w14:textId="3EDDE014" w:rsidR="008660FB" w:rsidRDefault="008660F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D4426F" w14:textId="63ED9D99" w:rsidR="00653B6D" w:rsidRDefault="00653B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73360" w14:textId="77777777" w:rsidR="00EC1786" w:rsidRDefault="00EC1786">
      <w:pPr>
        <w:spacing w:after="0" w:line="240" w:lineRule="auto"/>
      </w:pPr>
      <w:r>
        <w:separator/>
      </w:r>
    </w:p>
  </w:footnote>
  <w:footnote w:type="continuationSeparator" w:id="0">
    <w:p w14:paraId="474EA530" w14:textId="77777777" w:rsidR="00EC1786" w:rsidRDefault="00EC17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486372"/>
    <w:multiLevelType w:val="hybridMultilevel"/>
    <w:tmpl w:val="C218B3A8"/>
    <w:lvl w:ilvl="0" w:tplc="53D0A40A">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1392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B6D"/>
    <w:rsid w:val="0000275B"/>
    <w:rsid w:val="00022D26"/>
    <w:rsid w:val="0002611A"/>
    <w:rsid w:val="00033090"/>
    <w:rsid w:val="000402C7"/>
    <w:rsid w:val="00040D36"/>
    <w:rsid w:val="00054C7E"/>
    <w:rsid w:val="00057D18"/>
    <w:rsid w:val="000B043F"/>
    <w:rsid w:val="000C2D7E"/>
    <w:rsid w:val="000C6947"/>
    <w:rsid w:val="001215B7"/>
    <w:rsid w:val="00144287"/>
    <w:rsid w:val="0019309A"/>
    <w:rsid w:val="001B04C3"/>
    <w:rsid w:val="001E4050"/>
    <w:rsid w:val="00204DDB"/>
    <w:rsid w:val="0024007F"/>
    <w:rsid w:val="00262E31"/>
    <w:rsid w:val="00283D75"/>
    <w:rsid w:val="002934BB"/>
    <w:rsid w:val="002A3F84"/>
    <w:rsid w:val="002C1697"/>
    <w:rsid w:val="002D67FF"/>
    <w:rsid w:val="002E53AA"/>
    <w:rsid w:val="002F49E2"/>
    <w:rsid w:val="00316DD7"/>
    <w:rsid w:val="00351FC8"/>
    <w:rsid w:val="003550F2"/>
    <w:rsid w:val="00360E0E"/>
    <w:rsid w:val="003638BD"/>
    <w:rsid w:val="003717E1"/>
    <w:rsid w:val="00377ADA"/>
    <w:rsid w:val="00380D1E"/>
    <w:rsid w:val="0039413D"/>
    <w:rsid w:val="00395FED"/>
    <w:rsid w:val="003A7DDE"/>
    <w:rsid w:val="003E4DA8"/>
    <w:rsid w:val="004024B2"/>
    <w:rsid w:val="00425E71"/>
    <w:rsid w:val="00465998"/>
    <w:rsid w:val="004A5A4C"/>
    <w:rsid w:val="004A789F"/>
    <w:rsid w:val="004B4A06"/>
    <w:rsid w:val="004E2B6E"/>
    <w:rsid w:val="00552ED8"/>
    <w:rsid w:val="005A516F"/>
    <w:rsid w:val="005E4A49"/>
    <w:rsid w:val="005F00BB"/>
    <w:rsid w:val="005F442D"/>
    <w:rsid w:val="006128A6"/>
    <w:rsid w:val="00614317"/>
    <w:rsid w:val="00643989"/>
    <w:rsid w:val="00653B1D"/>
    <w:rsid w:val="00653B6D"/>
    <w:rsid w:val="0066300B"/>
    <w:rsid w:val="00667542"/>
    <w:rsid w:val="00672579"/>
    <w:rsid w:val="00690A0E"/>
    <w:rsid w:val="006927B6"/>
    <w:rsid w:val="006B31E1"/>
    <w:rsid w:val="006B75F0"/>
    <w:rsid w:val="006C5AA4"/>
    <w:rsid w:val="006E2F15"/>
    <w:rsid w:val="007051C7"/>
    <w:rsid w:val="00775FAC"/>
    <w:rsid w:val="007A4E7D"/>
    <w:rsid w:val="007C57A7"/>
    <w:rsid w:val="007C74E4"/>
    <w:rsid w:val="007F2EE8"/>
    <w:rsid w:val="0084282A"/>
    <w:rsid w:val="008660FB"/>
    <w:rsid w:val="0087530C"/>
    <w:rsid w:val="008A543B"/>
    <w:rsid w:val="008B0DB0"/>
    <w:rsid w:val="008B5B81"/>
    <w:rsid w:val="008B5CE2"/>
    <w:rsid w:val="008F18C4"/>
    <w:rsid w:val="008F19E3"/>
    <w:rsid w:val="00903904"/>
    <w:rsid w:val="0096053C"/>
    <w:rsid w:val="00970D45"/>
    <w:rsid w:val="00A43D78"/>
    <w:rsid w:val="00A86C55"/>
    <w:rsid w:val="00A96C8B"/>
    <w:rsid w:val="00AA1FD8"/>
    <w:rsid w:val="00AE526A"/>
    <w:rsid w:val="00B42A5E"/>
    <w:rsid w:val="00B535D5"/>
    <w:rsid w:val="00B629FE"/>
    <w:rsid w:val="00B64A55"/>
    <w:rsid w:val="00B92775"/>
    <w:rsid w:val="00BA2455"/>
    <w:rsid w:val="00BA47AA"/>
    <w:rsid w:val="00BC0979"/>
    <w:rsid w:val="00C05D1B"/>
    <w:rsid w:val="00C46986"/>
    <w:rsid w:val="00C530AC"/>
    <w:rsid w:val="00C63D7B"/>
    <w:rsid w:val="00C93F8E"/>
    <w:rsid w:val="00CA043A"/>
    <w:rsid w:val="00CA2362"/>
    <w:rsid w:val="00CB0F51"/>
    <w:rsid w:val="00CB55C7"/>
    <w:rsid w:val="00D20735"/>
    <w:rsid w:val="00D32B1A"/>
    <w:rsid w:val="00D50EA2"/>
    <w:rsid w:val="00D64216"/>
    <w:rsid w:val="00D852D9"/>
    <w:rsid w:val="00DA5E20"/>
    <w:rsid w:val="00DC30F1"/>
    <w:rsid w:val="00DD7A53"/>
    <w:rsid w:val="00DF0AC9"/>
    <w:rsid w:val="00E408C6"/>
    <w:rsid w:val="00E42D3D"/>
    <w:rsid w:val="00E60208"/>
    <w:rsid w:val="00E87DB2"/>
    <w:rsid w:val="00E93C4E"/>
    <w:rsid w:val="00E96D6F"/>
    <w:rsid w:val="00EC1786"/>
    <w:rsid w:val="00F172CD"/>
    <w:rsid w:val="00F21A68"/>
    <w:rsid w:val="00F3216B"/>
    <w:rsid w:val="00F662F0"/>
    <w:rsid w:val="00F852AC"/>
    <w:rsid w:val="00FB68B3"/>
    <w:rsid w:val="00FD553F"/>
    <w:rsid w:val="00FD565A"/>
    <w:rsid w:val="00FE7E89"/>
    <w:rsid w:val="0322B1F8"/>
    <w:rsid w:val="0419ADB5"/>
    <w:rsid w:val="10E2E674"/>
    <w:rsid w:val="128531C8"/>
    <w:rsid w:val="1994EC5F"/>
    <w:rsid w:val="28744378"/>
    <w:rsid w:val="2D770274"/>
    <w:rsid w:val="2F6FAF08"/>
    <w:rsid w:val="2FF872DD"/>
    <w:rsid w:val="365B860E"/>
    <w:rsid w:val="39052C4B"/>
    <w:rsid w:val="39A1EAEA"/>
    <w:rsid w:val="3D08DA3B"/>
    <w:rsid w:val="3E13B1C0"/>
    <w:rsid w:val="4118771D"/>
    <w:rsid w:val="416078FD"/>
    <w:rsid w:val="4930FFBB"/>
    <w:rsid w:val="49F0227F"/>
    <w:rsid w:val="4AB1FF19"/>
    <w:rsid w:val="50896D25"/>
    <w:rsid w:val="5237095D"/>
    <w:rsid w:val="549F7E8C"/>
    <w:rsid w:val="59659487"/>
    <w:rsid w:val="5B675855"/>
    <w:rsid w:val="5C405687"/>
    <w:rsid w:val="5D3035B5"/>
    <w:rsid w:val="6AFF9705"/>
    <w:rsid w:val="72502B3C"/>
    <w:rsid w:val="757F3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E795B"/>
  <w15:chartTrackingRefBased/>
  <w15:docId w15:val="{1F34B199-9532-4687-8899-9E69605D5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B6D"/>
    <w:rPr>
      <w:lang w:val="en-AU"/>
    </w:rPr>
  </w:style>
  <w:style w:type="paragraph" w:styleId="Heading1">
    <w:name w:val="heading 1"/>
    <w:basedOn w:val="Normal"/>
    <w:next w:val="Normal"/>
    <w:link w:val="Heading1Char"/>
    <w:uiPriority w:val="9"/>
    <w:qFormat/>
    <w:rsid w:val="00653B6D"/>
    <w:pPr>
      <w:keepNext/>
      <w:keepLines/>
      <w:spacing w:before="360" w:after="80"/>
      <w:outlineLvl w:val="0"/>
    </w:pPr>
    <w:rPr>
      <w:rFonts w:asciiTheme="majorHAnsi" w:eastAsiaTheme="majorEastAsia" w:hAnsiTheme="majorHAnsi" w:cstheme="majorBidi"/>
      <w:color w:val="0F4761" w:themeColor="accent1" w:themeShade="BF"/>
      <w:sz w:val="40"/>
      <w:szCs w:val="40"/>
      <w:lang w:val="en-US"/>
    </w:rPr>
  </w:style>
  <w:style w:type="paragraph" w:styleId="Heading2">
    <w:name w:val="heading 2"/>
    <w:basedOn w:val="Normal"/>
    <w:next w:val="Normal"/>
    <w:link w:val="Heading2Char"/>
    <w:uiPriority w:val="9"/>
    <w:semiHidden/>
    <w:unhideWhenUsed/>
    <w:qFormat/>
    <w:rsid w:val="00653B6D"/>
    <w:pPr>
      <w:keepNext/>
      <w:keepLines/>
      <w:spacing w:before="160" w:after="80"/>
      <w:outlineLvl w:val="1"/>
    </w:pPr>
    <w:rPr>
      <w:rFonts w:asciiTheme="majorHAnsi" w:eastAsiaTheme="majorEastAsia" w:hAnsiTheme="majorHAnsi" w:cstheme="majorBidi"/>
      <w:color w:val="0F4761" w:themeColor="accent1" w:themeShade="BF"/>
      <w:sz w:val="32"/>
      <w:szCs w:val="32"/>
      <w:lang w:val="en-US"/>
    </w:rPr>
  </w:style>
  <w:style w:type="paragraph" w:styleId="Heading3">
    <w:name w:val="heading 3"/>
    <w:basedOn w:val="Normal"/>
    <w:next w:val="Normal"/>
    <w:link w:val="Heading3Char"/>
    <w:uiPriority w:val="9"/>
    <w:semiHidden/>
    <w:unhideWhenUsed/>
    <w:qFormat/>
    <w:rsid w:val="00653B6D"/>
    <w:pPr>
      <w:keepNext/>
      <w:keepLines/>
      <w:spacing w:before="160" w:after="80"/>
      <w:outlineLvl w:val="2"/>
    </w:pPr>
    <w:rPr>
      <w:rFonts w:eastAsiaTheme="majorEastAsia" w:cstheme="majorBidi"/>
      <w:color w:val="0F4761" w:themeColor="accent1" w:themeShade="BF"/>
      <w:sz w:val="28"/>
      <w:szCs w:val="28"/>
      <w:lang w:val="en-US"/>
    </w:rPr>
  </w:style>
  <w:style w:type="paragraph" w:styleId="Heading4">
    <w:name w:val="heading 4"/>
    <w:basedOn w:val="Normal"/>
    <w:next w:val="Normal"/>
    <w:link w:val="Heading4Char"/>
    <w:uiPriority w:val="9"/>
    <w:semiHidden/>
    <w:unhideWhenUsed/>
    <w:qFormat/>
    <w:rsid w:val="00653B6D"/>
    <w:pPr>
      <w:keepNext/>
      <w:keepLines/>
      <w:spacing w:before="80" w:after="40"/>
      <w:outlineLvl w:val="3"/>
    </w:pPr>
    <w:rPr>
      <w:rFonts w:eastAsiaTheme="majorEastAsia" w:cstheme="majorBidi"/>
      <w:i/>
      <w:iCs/>
      <w:color w:val="0F4761" w:themeColor="accent1" w:themeShade="BF"/>
      <w:lang w:val="en-US"/>
    </w:rPr>
  </w:style>
  <w:style w:type="paragraph" w:styleId="Heading5">
    <w:name w:val="heading 5"/>
    <w:basedOn w:val="Normal"/>
    <w:next w:val="Normal"/>
    <w:link w:val="Heading5Char"/>
    <w:uiPriority w:val="9"/>
    <w:semiHidden/>
    <w:unhideWhenUsed/>
    <w:qFormat/>
    <w:rsid w:val="00653B6D"/>
    <w:pPr>
      <w:keepNext/>
      <w:keepLines/>
      <w:spacing w:before="80" w:after="40"/>
      <w:outlineLvl w:val="4"/>
    </w:pPr>
    <w:rPr>
      <w:rFonts w:eastAsiaTheme="majorEastAsia" w:cstheme="majorBidi"/>
      <w:color w:val="0F4761" w:themeColor="accent1" w:themeShade="BF"/>
      <w:lang w:val="en-US"/>
    </w:rPr>
  </w:style>
  <w:style w:type="paragraph" w:styleId="Heading6">
    <w:name w:val="heading 6"/>
    <w:basedOn w:val="Normal"/>
    <w:next w:val="Normal"/>
    <w:link w:val="Heading6Char"/>
    <w:uiPriority w:val="9"/>
    <w:semiHidden/>
    <w:unhideWhenUsed/>
    <w:qFormat/>
    <w:rsid w:val="00653B6D"/>
    <w:pPr>
      <w:keepNext/>
      <w:keepLines/>
      <w:spacing w:before="40" w:after="0"/>
      <w:outlineLvl w:val="5"/>
    </w:pPr>
    <w:rPr>
      <w:rFonts w:eastAsiaTheme="majorEastAsia" w:cstheme="majorBidi"/>
      <w:i/>
      <w:iCs/>
      <w:color w:val="595959" w:themeColor="text1" w:themeTint="A6"/>
      <w:lang w:val="en-US"/>
    </w:rPr>
  </w:style>
  <w:style w:type="paragraph" w:styleId="Heading7">
    <w:name w:val="heading 7"/>
    <w:basedOn w:val="Normal"/>
    <w:next w:val="Normal"/>
    <w:link w:val="Heading7Char"/>
    <w:uiPriority w:val="9"/>
    <w:semiHidden/>
    <w:unhideWhenUsed/>
    <w:qFormat/>
    <w:rsid w:val="00653B6D"/>
    <w:pPr>
      <w:keepNext/>
      <w:keepLines/>
      <w:spacing w:before="40" w:after="0"/>
      <w:outlineLvl w:val="6"/>
    </w:pPr>
    <w:rPr>
      <w:rFonts w:eastAsiaTheme="majorEastAsia" w:cstheme="majorBidi"/>
      <w:color w:val="595959" w:themeColor="text1" w:themeTint="A6"/>
      <w:lang w:val="en-US"/>
    </w:rPr>
  </w:style>
  <w:style w:type="paragraph" w:styleId="Heading8">
    <w:name w:val="heading 8"/>
    <w:basedOn w:val="Normal"/>
    <w:next w:val="Normal"/>
    <w:link w:val="Heading8Char"/>
    <w:uiPriority w:val="9"/>
    <w:semiHidden/>
    <w:unhideWhenUsed/>
    <w:qFormat/>
    <w:rsid w:val="00653B6D"/>
    <w:pPr>
      <w:keepNext/>
      <w:keepLines/>
      <w:spacing w:after="0"/>
      <w:outlineLvl w:val="7"/>
    </w:pPr>
    <w:rPr>
      <w:rFonts w:eastAsiaTheme="majorEastAsia" w:cstheme="majorBidi"/>
      <w:i/>
      <w:iCs/>
      <w:color w:val="272727" w:themeColor="text1" w:themeTint="D8"/>
      <w:lang w:val="en-US"/>
    </w:rPr>
  </w:style>
  <w:style w:type="paragraph" w:styleId="Heading9">
    <w:name w:val="heading 9"/>
    <w:basedOn w:val="Normal"/>
    <w:next w:val="Normal"/>
    <w:link w:val="Heading9Char"/>
    <w:uiPriority w:val="9"/>
    <w:semiHidden/>
    <w:unhideWhenUsed/>
    <w:qFormat/>
    <w:rsid w:val="00653B6D"/>
    <w:pPr>
      <w:keepNext/>
      <w:keepLines/>
      <w:spacing w:after="0"/>
      <w:outlineLvl w:val="8"/>
    </w:pPr>
    <w:rPr>
      <w:rFonts w:eastAsiaTheme="majorEastAsia" w:cstheme="majorBidi"/>
      <w:color w:val="272727" w:themeColor="text1" w:themeTint="D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B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3B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3B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3B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3B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3B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3B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3B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3B6D"/>
    <w:rPr>
      <w:rFonts w:eastAsiaTheme="majorEastAsia" w:cstheme="majorBidi"/>
      <w:color w:val="272727" w:themeColor="text1" w:themeTint="D8"/>
    </w:rPr>
  </w:style>
  <w:style w:type="paragraph" w:styleId="Title">
    <w:name w:val="Title"/>
    <w:basedOn w:val="Normal"/>
    <w:next w:val="Normal"/>
    <w:link w:val="TitleChar"/>
    <w:uiPriority w:val="10"/>
    <w:qFormat/>
    <w:rsid w:val="00653B6D"/>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653B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3B6D"/>
    <w:pPr>
      <w:numPr>
        <w:ilvl w:val="1"/>
      </w:numPr>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653B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3B6D"/>
    <w:pPr>
      <w:spacing w:before="160"/>
      <w:jc w:val="center"/>
    </w:pPr>
    <w:rPr>
      <w:i/>
      <w:iCs/>
      <w:color w:val="404040" w:themeColor="text1" w:themeTint="BF"/>
      <w:lang w:val="en-US"/>
    </w:rPr>
  </w:style>
  <w:style w:type="character" w:customStyle="1" w:styleId="QuoteChar">
    <w:name w:val="Quote Char"/>
    <w:basedOn w:val="DefaultParagraphFont"/>
    <w:link w:val="Quote"/>
    <w:uiPriority w:val="29"/>
    <w:rsid w:val="00653B6D"/>
    <w:rPr>
      <w:i/>
      <w:iCs/>
      <w:color w:val="404040" w:themeColor="text1" w:themeTint="BF"/>
    </w:rPr>
  </w:style>
  <w:style w:type="paragraph" w:styleId="ListParagraph">
    <w:name w:val="List Paragraph"/>
    <w:basedOn w:val="Normal"/>
    <w:uiPriority w:val="34"/>
    <w:qFormat/>
    <w:rsid w:val="00653B6D"/>
    <w:pPr>
      <w:ind w:left="720"/>
      <w:contextualSpacing/>
    </w:pPr>
    <w:rPr>
      <w:lang w:val="en-US"/>
    </w:rPr>
  </w:style>
  <w:style w:type="character" w:styleId="IntenseEmphasis">
    <w:name w:val="Intense Emphasis"/>
    <w:basedOn w:val="DefaultParagraphFont"/>
    <w:uiPriority w:val="21"/>
    <w:qFormat/>
    <w:rsid w:val="00653B6D"/>
    <w:rPr>
      <w:i/>
      <w:iCs/>
      <w:color w:val="0F4761" w:themeColor="accent1" w:themeShade="BF"/>
    </w:rPr>
  </w:style>
  <w:style w:type="paragraph" w:styleId="IntenseQuote">
    <w:name w:val="Intense Quote"/>
    <w:basedOn w:val="Normal"/>
    <w:next w:val="Normal"/>
    <w:link w:val="IntenseQuoteChar"/>
    <w:uiPriority w:val="30"/>
    <w:qFormat/>
    <w:rsid w:val="00653B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en-US"/>
    </w:rPr>
  </w:style>
  <w:style w:type="character" w:customStyle="1" w:styleId="IntenseQuoteChar">
    <w:name w:val="Intense Quote Char"/>
    <w:basedOn w:val="DefaultParagraphFont"/>
    <w:link w:val="IntenseQuote"/>
    <w:uiPriority w:val="30"/>
    <w:rsid w:val="00653B6D"/>
    <w:rPr>
      <w:i/>
      <w:iCs/>
      <w:color w:val="0F4761" w:themeColor="accent1" w:themeShade="BF"/>
    </w:rPr>
  </w:style>
  <w:style w:type="character" w:styleId="IntenseReference">
    <w:name w:val="Intense Reference"/>
    <w:basedOn w:val="DefaultParagraphFont"/>
    <w:uiPriority w:val="32"/>
    <w:qFormat/>
    <w:rsid w:val="00653B6D"/>
    <w:rPr>
      <w:b/>
      <w:bCs/>
      <w:smallCaps/>
      <w:color w:val="0F4761" w:themeColor="accent1" w:themeShade="BF"/>
      <w:spacing w:val="5"/>
    </w:rPr>
  </w:style>
  <w:style w:type="paragraph" w:styleId="Header">
    <w:name w:val="header"/>
    <w:basedOn w:val="Normal"/>
    <w:link w:val="HeaderChar"/>
    <w:uiPriority w:val="99"/>
    <w:unhideWhenUsed/>
    <w:rsid w:val="00653B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3B6D"/>
    <w:rPr>
      <w:lang w:val="en-AU"/>
    </w:rPr>
  </w:style>
  <w:style w:type="paragraph" w:styleId="Footer">
    <w:name w:val="footer"/>
    <w:basedOn w:val="Normal"/>
    <w:link w:val="FooterChar"/>
    <w:uiPriority w:val="99"/>
    <w:unhideWhenUsed/>
    <w:rsid w:val="00653B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3B6D"/>
    <w:rPr>
      <w:lang w:val="en-AU"/>
    </w:rPr>
  </w:style>
  <w:style w:type="paragraph" w:styleId="Revision">
    <w:name w:val="Revision"/>
    <w:hidden/>
    <w:uiPriority w:val="99"/>
    <w:semiHidden/>
    <w:rsid w:val="003E4DA8"/>
    <w:pPr>
      <w:spacing w:after="0" w:line="240" w:lineRule="auto"/>
    </w:pPr>
    <w:rPr>
      <w:lang w:val="en-AU"/>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lang w:val="en-AU"/>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852AC"/>
    <w:rPr>
      <w:b/>
      <w:bCs/>
    </w:rPr>
  </w:style>
  <w:style w:type="character" w:customStyle="1" w:styleId="CommentSubjectChar">
    <w:name w:val="Comment Subject Char"/>
    <w:basedOn w:val="CommentTextChar"/>
    <w:link w:val="CommentSubject"/>
    <w:uiPriority w:val="99"/>
    <w:semiHidden/>
    <w:rsid w:val="00F852AC"/>
    <w:rPr>
      <w:b/>
      <w:bCs/>
      <w:sz w:val="20"/>
      <w:szCs w:val="20"/>
      <w:lang w:val="en-AU"/>
    </w:rPr>
  </w:style>
  <w:style w:type="character" w:styleId="Hyperlink">
    <w:name w:val="Hyperlink"/>
    <w:basedOn w:val="DefaultParagraphFont"/>
    <w:uiPriority w:val="99"/>
    <w:unhideWhenUsed/>
    <w:rsid w:val="00F852AC"/>
    <w:rPr>
      <w:color w:val="467886" w:themeColor="hyperlink"/>
      <w:u w:val="single"/>
    </w:rPr>
  </w:style>
  <w:style w:type="character" w:styleId="UnresolvedMention">
    <w:name w:val="Unresolved Mention"/>
    <w:basedOn w:val="DefaultParagraphFont"/>
    <w:uiPriority w:val="99"/>
    <w:semiHidden/>
    <w:unhideWhenUsed/>
    <w:rsid w:val="00F852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F1C8DE1F14EA408AB32AAE07B531EF" ma:contentTypeVersion="12" ma:contentTypeDescription="Create a new document." ma:contentTypeScope="" ma:versionID="681109b2aaf9d095517a43f6c149f5bd">
  <xsd:schema xmlns:xsd="http://www.w3.org/2001/XMLSchema" xmlns:xs="http://www.w3.org/2001/XMLSchema" xmlns:p="http://schemas.microsoft.com/office/2006/metadata/properties" xmlns:ns2="8f7e922f-a535-42ea-a88a-d2aeb4da5804" xmlns:ns3="dbf86e3e-1e01-4781-b2c1-8f6f9ce39bba" targetNamespace="http://schemas.microsoft.com/office/2006/metadata/properties" ma:root="true" ma:fieldsID="224325e354eca70ed3c8ce76c162b722" ns2:_="" ns3:_="">
    <xsd:import namespace="8f7e922f-a535-42ea-a88a-d2aeb4da5804"/>
    <xsd:import namespace="dbf86e3e-1e01-4781-b2c1-8f6f9ce39b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7e922f-a535-42ea-a88a-d2aeb4da58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d2fa76-d9ac-436b-9ac7-bc345fdc3fe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f86e3e-1e01-4781-b2c1-8f6f9ce39b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b477c12-cecd-49fd-9da9-99cc1866cae1}" ma:internalName="TaxCatchAll" ma:showField="CatchAllData" ma:web="dbf86e3e-1e01-4781-b2c1-8f6f9ce39b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bf86e3e-1e01-4781-b2c1-8f6f9ce39bba" xsi:nil="true"/>
    <lcf76f155ced4ddcb4097134ff3c332f xmlns="8f7e922f-a535-42ea-a88a-d2aeb4da580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084076-2435-4E59-9E16-FF6760D9E602}">
  <ds:schemaRefs>
    <ds:schemaRef ds:uri="http://schemas.microsoft.com/sharepoint/v3/contenttype/forms"/>
  </ds:schemaRefs>
</ds:datastoreItem>
</file>

<file path=customXml/itemProps2.xml><?xml version="1.0" encoding="utf-8"?>
<ds:datastoreItem xmlns:ds="http://schemas.openxmlformats.org/officeDocument/2006/customXml" ds:itemID="{A392DCAE-6B4C-41DD-A9D6-88C87D177072}"/>
</file>

<file path=customXml/itemProps3.xml><?xml version="1.0" encoding="utf-8"?>
<ds:datastoreItem xmlns:ds="http://schemas.openxmlformats.org/officeDocument/2006/customXml" ds:itemID="{8BC585A8-AA54-4EC3-BBD9-940BD00C67DD}">
  <ds:schemaRefs>
    <ds:schemaRef ds:uri="http://purl.org/dc/dcmitype/"/>
    <ds:schemaRef ds:uri="http://schemas.microsoft.com/office/2006/metadata/properties"/>
    <ds:schemaRef ds:uri="http://schemas.microsoft.com/office/infopath/2007/PartnerControls"/>
    <ds:schemaRef ds:uri="http://www.w3.org/XML/1998/namespace"/>
    <ds:schemaRef ds:uri="a2aba84a-5243-4655-85a0-28393f8c71fe"/>
    <ds:schemaRef ds:uri="http://schemas.openxmlformats.org/package/2006/metadata/core-properties"/>
    <ds:schemaRef ds:uri="http://schemas.microsoft.com/office/2006/documentManagement/types"/>
    <ds:schemaRef ds:uri="0690cd32-43b1-4c04-bd78-98652a6db61d"/>
    <ds:schemaRef ds:uri="http://purl.org/dc/terms/"/>
    <ds:schemaRef ds:uri="http://purl.org/dc/elements/1.1/"/>
  </ds:schemaRefs>
</ds:datastoreItem>
</file>

<file path=docMetadata/LabelInfo.xml><?xml version="1.0" encoding="utf-8"?>
<clbl:labelList xmlns:clbl="http://schemas.microsoft.com/office/2020/mipLabelMetadata">
  <clbl:label id="{9b7f23b3-0e83-47a5-8a40-ffa8a6fea536}" enabled="0" method="" siteId="{9b7f23b3-0e83-47a5-8a40-ffa8a6fea536}"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474</Words>
  <Characters>2806</Characters>
  <Application>Microsoft Office Word</Application>
  <DocSecurity>0</DocSecurity>
  <Lines>66</Lines>
  <Paragraphs>19</Paragraphs>
  <ScaleCrop>false</ScaleCrop>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 Brunnemer</dc:creator>
  <cp:keywords>[SEC=OFFICIAL]</cp:keywords>
  <dc:description/>
  <cp:lastModifiedBy>Thuy Brunnemer</cp:lastModifiedBy>
  <cp:revision>2</cp:revision>
  <cp:lastPrinted>2026-03-12T16:27:00Z</cp:lastPrinted>
  <dcterms:created xsi:type="dcterms:W3CDTF">2026-03-25T09:23:00Z</dcterms:created>
  <dcterms:modified xsi:type="dcterms:W3CDTF">2026-03-25T09:23:00Z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v=2022.1;a=SHA256;h=9C0FBC864C268EF12B3FCCD33B0929B6EA7096053E4B854D6CCB4B7D41CF7582</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ProtectiveMarkingValue_Header">
    <vt:lpwstr>OFFICIAL</vt:lpwstr>
  </property>
  <property fmtid="{D5CDD505-2E9C-101B-9397-08002B2CF9AE}" pid="10" name="PM_OriginationTimeStamp">
    <vt:lpwstr>2026-03-05T09:48:38Z</vt:lpwstr>
  </property>
  <property fmtid="{D5CDD505-2E9C-101B-9397-08002B2CF9AE}" pid="11" name="PM_DownTo">
    <vt:lpwstr/>
  </property>
  <property fmtid="{D5CDD505-2E9C-101B-9397-08002B2CF9AE}" pid="12" name="PM_Markers">
    <vt:lpwstr/>
  </property>
  <property fmtid="{D5CDD505-2E9C-101B-9397-08002B2CF9AE}" pid="13" name="PM_DisplayValueSecClassificationWithQualifier">
    <vt:lpwstr>OFFICIAL</vt:lpwstr>
  </property>
  <property fmtid="{D5CDD505-2E9C-101B-9397-08002B2CF9AE}" pid="14" name="PM_Expires">
    <vt:lpwstr/>
  </property>
  <property fmtid="{D5CDD505-2E9C-101B-9397-08002B2CF9AE}" pid="15" name="PM_InsertionValue">
    <vt:lpwstr>OFFICIAL</vt:lpwstr>
  </property>
  <property fmtid="{D5CDD505-2E9C-101B-9397-08002B2CF9AE}" pid="16" name="PM_Originator_Hash_SHA1">
    <vt:lpwstr>E3C976A60562AE7AD1FFA0C353DD8E16C8AA21CF</vt:lpwstr>
  </property>
  <property fmtid="{D5CDD505-2E9C-101B-9397-08002B2CF9AE}" pid="17" name="PM_Originating_FileId">
    <vt:lpwstr>14D0610E2220446A97DDA8DB5B6F2B40</vt:lpwstr>
  </property>
  <property fmtid="{D5CDD505-2E9C-101B-9397-08002B2CF9AE}" pid="18" name="PM_ProtectiveMarkingValue_Footer">
    <vt:lpwstr>OFFICIAL</vt:lpwstr>
  </property>
  <property fmtid="{D5CDD505-2E9C-101B-9397-08002B2CF9AE}" pid="19" name="PM_Display">
    <vt:lpwstr>OFFICIAL</vt:lpwstr>
  </property>
  <property fmtid="{D5CDD505-2E9C-101B-9397-08002B2CF9AE}" pid="20" name="PM_OriginatorUserAccountName_SHA256">
    <vt:lpwstr>BF109E7F9125545ECAB06C626AF86DDCB9472A9C59321073216606E134CC9793</vt:lpwstr>
  </property>
  <property fmtid="{D5CDD505-2E9C-101B-9397-08002B2CF9AE}" pid="21" name="PM_OriginatorDomainName_SHA256">
    <vt:lpwstr>6F3591835F3B2A8A025B00B5BA6418010DA3A17C9C26EA9C049FFD28039489A2</vt:lpwstr>
  </property>
  <property fmtid="{D5CDD505-2E9C-101B-9397-08002B2CF9AE}" pid="22" name="PMUuid">
    <vt:lpwstr>v=2022.2;d=gov.au;g=46DD6D7C-8107-577B-BC6E-F348953B2E44</vt:lpwstr>
  </property>
  <property fmtid="{D5CDD505-2E9C-101B-9397-08002B2CF9AE}" pid="23" name="PM_Hash_Version">
    <vt:lpwstr>2022.1</vt:lpwstr>
  </property>
  <property fmtid="{D5CDD505-2E9C-101B-9397-08002B2CF9AE}" pid="24" name="PM_Hash_Salt_Prev">
    <vt:lpwstr>D956A33A4199BF0631DB9F0A661E08FF</vt:lpwstr>
  </property>
  <property fmtid="{D5CDD505-2E9C-101B-9397-08002B2CF9AE}" pid="25" name="PM_Hash_Salt">
    <vt:lpwstr>BA77054A9E10E0DFD537FC03A4983E9A</vt:lpwstr>
  </property>
  <property fmtid="{D5CDD505-2E9C-101B-9397-08002B2CF9AE}" pid="26" name="PM_Hash_SHA1">
    <vt:lpwstr>D5D37E724FF7A1C54957F419491B362758635B63</vt:lpwstr>
  </property>
  <property fmtid="{D5CDD505-2E9C-101B-9397-08002B2CF9AE}" pid="27" name="PM_SecurityClassification_Prev">
    <vt:lpwstr>OFFICIAL</vt:lpwstr>
  </property>
  <property fmtid="{D5CDD505-2E9C-101B-9397-08002B2CF9AE}" pid="28" name="PM_Qualifier_Prev">
    <vt:lpwstr/>
  </property>
  <property fmtid="{D5CDD505-2E9C-101B-9397-08002B2CF9AE}" pid="29" name="ContentTypeId">
    <vt:lpwstr>0x010100B7F1C8DE1F14EA408AB32AAE07B531EF</vt:lpwstr>
  </property>
  <property fmtid="{D5CDD505-2E9C-101B-9397-08002B2CF9AE}" pid="30" name="MediaServiceImageTags">
    <vt:lpwstr/>
  </property>
</Properties>
</file>